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5915025</wp:posOffset>
            </wp:positionH>
            <wp:positionV relativeFrom="paragraph">
              <wp:posOffset>114300</wp:posOffset>
            </wp:positionV>
            <wp:extent cx="1395413" cy="531208"/>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95413" cy="531208"/>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3">
      <w:pPr>
        <w:pStyle w:val="Title"/>
        <w:spacing w:line="360" w:lineRule="auto"/>
        <w:ind w:firstLine="281"/>
        <w:rPr>
          <w:rFonts w:ascii="Montserrat" w:cs="Montserrat" w:eastAsia="Montserrat" w:hAnsi="Montserrat"/>
          <w:b w:val="1"/>
        </w:rPr>
      </w:pPr>
      <w:r w:rsidDel="00000000" w:rsidR="00000000" w:rsidRPr="00000000">
        <w:rPr>
          <w:rFonts w:ascii="Montserrat" w:cs="Montserrat" w:eastAsia="Montserrat" w:hAnsi="Montserrat"/>
          <w:b w:val="1"/>
          <w:color w:val="2343cb"/>
          <w:rtl w:val="0"/>
        </w:rPr>
        <w:t xml:space="preserve">Example Message to Send to Family</w:t>
      </w:r>
      <w:r w:rsidDel="00000000" w:rsidR="00000000" w:rsidRPr="00000000">
        <w:rPr>
          <w:rtl w:val="0"/>
        </w:rPr>
      </w:r>
    </w:p>
    <w:p w:rsidR="00000000" w:rsidDel="00000000" w:rsidP="00000000" w:rsidRDefault="00000000" w:rsidRPr="00000000" w14:paraId="00000004">
      <w:pPr>
        <w:spacing w:before="0" w:line="240" w:lineRule="auto"/>
        <w:ind w:left="321" w:right="0" w:firstLine="0"/>
        <w:jc w:val="left"/>
        <w:rPr>
          <w:rFonts w:ascii="Montserrat" w:cs="Montserrat" w:eastAsia="Montserrat" w:hAnsi="Montserrat"/>
          <w:sz w:val="26"/>
          <w:szCs w:val="26"/>
        </w:rPr>
      </w:pPr>
      <w:r w:rsidDel="00000000" w:rsidR="00000000" w:rsidRPr="00000000">
        <w:rPr>
          <w:rFonts w:ascii="Montserrat" w:cs="Montserrat" w:eastAsia="Montserrat" w:hAnsi="Montserrat"/>
          <w:color w:val="2343cb"/>
          <w:sz w:val="26"/>
          <w:szCs w:val="26"/>
          <w:rtl w:val="0"/>
        </w:rPr>
        <w:t xml:space="preserve">Send by regular mail or by email*</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7" w:before="223" w:line="237" w:lineRule="auto"/>
        <w:ind w:left="283.46456692913375" w:right="39.68503937007995" w:firstLine="0"/>
        <w:jc w:val="left"/>
        <w:rPr>
          <w:rFonts w:ascii="Montserrat" w:cs="Montserrat" w:eastAsia="Montserrat" w:hAnsi="Montserrat"/>
          <w:i w:val="1"/>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1"/>
          <w:i w:val="1"/>
          <w:smallCaps w:val="0"/>
          <w:strike w:val="0"/>
          <w:color w:val="606060"/>
          <w:sz w:val="18"/>
          <w:szCs w:val="18"/>
          <w:u w:val="none"/>
          <w:shd w:fill="auto" w:val="clear"/>
          <w:vertAlign w:val="baseline"/>
          <w:rtl w:val="0"/>
        </w:rPr>
        <w:t xml:space="preserve">Instructions: </w:t>
      </w:r>
      <w:r w:rsidDel="00000000" w:rsidR="00000000" w:rsidRPr="00000000">
        <w:rPr>
          <w:rFonts w:ascii="Montserrat" w:cs="Montserrat" w:eastAsia="Montserrat" w:hAnsi="Montserrat"/>
          <w:i w:val="1"/>
          <w:smallCaps w:val="0"/>
          <w:strike w:val="0"/>
          <w:color w:val="606060"/>
          <w:sz w:val="18"/>
          <w:szCs w:val="18"/>
          <w:u w:val="none"/>
          <w:shd w:fill="auto" w:val="clear"/>
          <w:vertAlign w:val="baseline"/>
          <w:rtl w:val="0"/>
        </w:rPr>
        <w:t xml:space="preserve">Please find below recommended text for a letter to your family members. Please read through this template, fill in appropriate information, and make any additional changes you feel appropriate. Additionally, it is recommended that you attach your genetic screening results or informational sheet on your particular mutation. This document will be important for any relatives when they speak with their healthcare provider. This document is only relevant to blood relatives and not “inlaws”. This includes parents, grandparents, children, siblings, aunts, uncles, and cousins.</w:t>
      </w:r>
      <w:r w:rsidDel="00000000" w:rsidR="00000000" w:rsidRPr="00000000">
        <w:rPr>
          <w:rtl w:val="0"/>
        </w:rPr>
      </w:r>
    </w:p>
    <w:tbl>
      <w:tblPr>
        <w:tblStyle w:val="Table1"/>
        <w:tblW w:w="11325.0" w:type="dxa"/>
        <w:jc w:val="left"/>
        <w:tblInd w:w="107.0" w:type="dxa"/>
        <w:tblBorders>
          <w:top w:color="707070" w:space="0" w:sz="8" w:val="single"/>
          <w:left w:color="707070" w:space="0" w:sz="8" w:val="single"/>
          <w:bottom w:color="707070" w:space="0" w:sz="8" w:val="single"/>
          <w:right w:color="707070" w:space="0" w:sz="8" w:val="single"/>
          <w:insideH w:color="707070" w:space="0" w:sz="8" w:val="single"/>
          <w:insideV w:color="707070" w:space="0" w:sz="8" w:val="single"/>
        </w:tblBorders>
        <w:tblLayout w:type="fixed"/>
        <w:tblLook w:val="0000"/>
      </w:tblPr>
      <w:tblGrid>
        <w:gridCol w:w="105"/>
        <w:gridCol w:w="11115"/>
        <w:gridCol w:w="105"/>
        <w:tblGridChange w:id="0">
          <w:tblGrid>
            <w:gridCol w:w="105"/>
            <w:gridCol w:w="11115"/>
            <w:gridCol w:w="105"/>
          </w:tblGrid>
        </w:tblGridChange>
      </w:tblGrid>
      <w:tr>
        <w:trPr>
          <w:cantSplit w:val="0"/>
          <w:trHeight w:val="405" w:hRule="atLeast"/>
          <w:tblHeader w:val="0"/>
        </w:trPr>
        <w:tc>
          <w:tcPr>
            <w:tcBorders>
              <w:top w:color="000000" w:space="0" w:sz="0" w:val="nil"/>
              <w:left w:color="000000" w:space="0" w:sz="0" w:val="nil"/>
            </w:tcBorders>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right w:color="000000" w:space="0" w:sz="0" w:val="nil"/>
            </w:tcBorders>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1280" w:hRule="atLeast"/>
          <w:tblHeader w:val="0"/>
        </w:trPr>
        <w:tc>
          <w:tcPr>
            <w:tcBorders>
              <w:left w:color="000000" w:space="0" w:sz="0" w:val="nil"/>
            </w:tcBorders>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41.73228346456688" w:right="0" w:firstLine="0"/>
              <w:jc w:val="left"/>
              <w:rPr>
                <w:rFonts w:ascii="Montserrat" w:cs="Montserrat" w:eastAsia="Montserrat" w:hAnsi="Montserrat"/>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left" w:leader="none" w:pos="2636"/>
              </w:tabs>
              <w:spacing w:after="0" w:before="0" w:line="240" w:lineRule="auto"/>
              <w:ind w:left="29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Dear </w:t>
            </w:r>
            <w:r w:rsidDel="00000000" w:rsidR="00000000" w:rsidRPr="00000000">
              <w:rPr>
                <w:rFonts w:ascii="Montserrat" w:cs="Montserrat" w:eastAsia="Montserrat" w:hAnsi="Montserrat"/>
                <w:i w:val="0"/>
                <w:smallCaps w:val="0"/>
                <w:strike w:val="0"/>
                <w:color w:val="1d1d1b"/>
                <w:sz w:val="22"/>
                <w:szCs w:val="22"/>
                <w:u w:val="single"/>
                <w:shd w:fill="auto" w:val="clear"/>
                <w:vertAlign w:val="baseline"/>
                <w:rtl w:val="0"/>
              </w:rPr>
              <w:tab/>
            </w: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Montserrat" w:cs="Montserrat" w:eastAsia="Montserrat" w:hAnsi="Montserrat"/>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290" w:right="337"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I am writing to let you know that I have been diagnosed with a hereditary condition known as Hereditary Breast and Ovarian Cancer (HBOC) syndrome. I was tested for inherited mutations (or changes) in the BRCA1 and BRCA2 genes. Mutations in these genes cause most cases of HBOC syndrome. HBOC syndrome is a genetic (inherited) condition that runs in families and increases the likelihood of developing certain types of cancer. Since you are a blood relative, you are at risk for HBOC syndrome and could benefit from genetic counseling and possibly genetic testing for HBOC syndrome. It is important to learn whether or not you have HBOC syndrome, as there may be steps you can to reduce your risk of cancer.</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290" w:right="337"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A person with HBOC syndrome has a higher risk of developing certain types of cancers. Women who inherit HBOC syndrome have an increased risk of being diagnosed with breast cancer and ovarian cancer, and other cancers like pancreatic cancer. Men diagnosed with HBOC syndrome have a higher risk of prostate, breast, and pancreatic cancer, among others.</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29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HBOC syndrome is hereditary. This means that I likely received the mutation from one of my parents. First-degree relatives (parents, siblings, and children) have a 50% chance of being diagnosed with HBOC syndrome also, whether they are men or women. Also, both men and women can pass the syndrome on to their children.</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Montserrat" w:cs="Montserrat" w:eastAsia="Montserrat" w:hAnsi="Montserrat"/>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290" w:right="362"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The first step is to talk to your doctor or a genetic counselor. Take this letter and a copy of my genetic test results that I have attached to your doctor or genetic counselor to talk about the cancer risk that runs in our family. During this conversation you can talk more about the pros and cons of genetic testing and learn more about insurance coverage for testing.</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Montserrat" w:cs="Montserrat" w:eastAsia="Montserrat" w:hAnsi="Montserrat"/>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29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You can find a genetic counselor through the National Society of Genetic Counselors: </w:t>
            </w:r>
            <w:hyperlink r:id="rId8">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www.findageneticcounselor.com.</w:t>
              </w:r>
            </w:hyperlink>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290" w:right="337"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More information about HBOC syndrome and hereditary cancer can be found at the following websites:</w:t>
            </w:r>
            <w:r w:rsidDel="00000000" w:rsidR="00000000" w:rsidRPr="00000000">
              <w:rPr>
                <w:rtl w:val="0"/>
              </w:rPr>
            </w:r>
          </w:p>
          <w:p w:rsidR="00000000" w:rsidDel="00000000" w:rsidP="00000000" w:rsidRDefault="00000000" w:rsidRPr="00000000" w14:paraId="00000016">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6"/>
              </w:tabs>
              <w:spacing w:after="0" w:afterAutospacing="0" w:before="0" w:line="266" w:lineRule="auto"/>
              <w:ind w:left="720" w:right="0" w:hanging="360"/>
              <w:jc w:val="left"/>
              <w:rPr>
                <w:rFonts w:ascii="Montserrat" w:cs="Montserrat" w:eastAsia="Montserrat" w:hAnsi="Montserrat"/>
                <w:i w:val="0"/>
                <w:smallCaps w:val="0"/>
                <w:strike w:val="0"/>
                <w:color w:val="1d1d1b"/>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Facing Our Risk: </w:t>
            </w:r>
            <w:hyperlink r:id="rId9">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www.facingourrisk.org</w:t>
              </w:r>
            </w:hyperlink>
            <w:r w:rsidDel="00000000" w:rsidR="00000000" w:rsidRPr="00000000">
              <w:rPr>
                <w:rtl w:val="0"/>
              </w:rPr>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6"/>
              </w:tabs>
              <w:spacing w:after="0" w:afterAutospacing="0" w:before="0" w:beforeAutospacing="0" w:line="230" w:lineRule="auto"/>
              <w:ind w:left="720" w:right="1193.7401574803164" w:hanging="360"/>
              <w:jc w:val="left"/>
              <w:rPr>
                <w:rFonts w:ascii="Montserrat" w:cs="Montserrat" w:eastAsia="Montserrat" w:hAnsi="Montserrat"/>
                <w:i w:val="0"/>
                <w:smallCaps w:val="0"/>
                <w:strike w:val="0"/>
                <w:color w:val="1d1d1b"/>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Centers for Disease Control and Prevention: HBOC https://</w:t>
            </w:r>
            <w:hyperlink r:id="rId10">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www.cdc.gov/genomics/disease/breast_ovarian_cancer/index.htm</w:t>
              </w:r>
            </w:hyperlink>
            <w:r w:rsidDel="00000000" w:rsidR="00000000" w:rsidRPr="00000000">
              <w:rPr>
                <w:rtl w:val="0"/>
              </w:rPr>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6"/>
              </w:tabs>
              <w:spacing w:after="0" w:before="0" w:beforeAutospacing="0" w:line="230" w:lineRule="auto"/>
              <w:ind w:left="720" w:right="910.2755905511822" w:hanging="360"/>
              <w:jc w:val="left"/>
              <w:rPr>
                <w:rFonts w:ascii="Montserrat" w:cs="Montserrat" w:eastAsia="Montserrat" w:hAnsi="Montserrat"/>
                <w:i w:val="0"/>
                <w:smallCaps w:val="0"/>
                <w:strike w:val="0"/>
                <w:color w:val="1d1d1b"/>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Centers for Disease Control and Prevention: Genetic Testing for HBOC https://</w:t>
            </w:r>
            <w:hyperlink r:id="rId11">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www.cdc.gov/genomics/disease/breast_ovarian_cancer/testing.h</w:t>
              </w:r>
            </w:hyperlink>
            <w:hyperlink r:id="rId12">
              <w:r w:rsidDel="00000000" w:rsidR="00000000" w:rsidRPr="00000000">
                <w:rPr>
                  <w:rFonts w:ascii="Montserrat" w:cs="Montserrat" w:eastAsia="Montserrat" w:hAnsi="Montserrat"/>
                  <w:color w:val="1d1d1b"/>
                  <w:rtl w:val="0"/>
                </w:rPr>
                <w:t xml:space="preserve">t</w:t>
              </w:r>
            </w:hyperlink>
            <w:hyperlink r:id="rId13">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m</w:t>
              </w:r>
            </w:hyperlink>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Montserrat" w:cs="Montserrat" w:eastAsia="Montserrat" w:hAnsi="Montserrat"/>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29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While it can be concerning to learn that there is a risk for a genetic condition in our family, there are many resources available for families at risk for HBOC syndrome, and I want to help make sure that our family knows about this important information.</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Montserrat" w:cs="Montserrat" w:eastAsia="Montserrat" w:hAnsi="Montserrat"/>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1d1d1b"/>
                <w:sz w:val="22"/>
                <w:szCs w:val="22"/>
                <w:u w:val="none"/>
                <w:shd w:fill="auto" w:val="clear"/>
                <w:vertAlign w:val="baseline"/>
                <w:rtl w:val="0"/>
              </w:rPr>
              <w:t xml:space="preserve">Sincerely,</w:t>
            </w:r>
            <w:r w:rsidDel="00000000" w:rsidR="00000000" w:rsidRPr="00000000">
              <w:rPr>
                <w:rtl w:val="0"/>
              </w:rPr>
            </w:r>
          </w:p>
        </w:tc>
        <w:tc>
          <w:tcPr>
            <w:tcBorders>
              <w:right w:color="000000" w:space="0" w:sz="0" w:val="nil"/>
            </w:tcBorders>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0" w:hRule="atLeast"/>
          <w:tblHeader w:val="0"/>
        </w:trPr>
        <w:tc>
          <w:tcPr>
            <w:tcBorders>
              <w:left w:color="000000" w:space="0" w:sz="0" w:val="nil"/>
              <w:bottom w:color="000000" w:space="0" w:sz="0" w:val="nil"/>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0" w:val="nil"/>
              <w:right w:color="000000" w:space="0" w:sz="0" w:val="nil"/>
            </w:tcBorders>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21">
      <w:pPr>
        <w:spacing w:before="5" w:line="240" w:lineRule="auto"/>
        <w:ind w:firstLine="0"/>
        <w:rPr>
          <w:rFonts w:ascii="Montserrat" w:cs="Montserrat" w:eastAsia="Montserrat" w:hAnsi="Montserrat"/>
          <w:i w:val="1"/>
          <w:sz w:val="17"/>
          <w:szCs w:val="17"/>
        </w:rPr>
      </w:pPr>
      <w:r w:rsidDel="00000000" w:rsidR="00000000" w:rsidRPr="00000000">
        <w:rPr>
          <w:rtl w:val="0"/>
        </w:rPr>
      </w:r>
    </w:p>
    <w:p w:rsidR="00000000" w:rsidDel="00000000" w:rsidP="00000000" w:rsidRDefault="00000000" w:rsidRPr="00000000" w14:paraId="00000022">
      <w:pPr>
        <w:spacing w:before="1" w:line="237" w:lineRule="auto"/>
        <w:ind w:left="3155" w:right="2227" w:hanging="1181"/>
        <w:jc w:val="left"/>
        <w:rPr>
          <w:rFonts w:ascii="Montserrat" w:cs="Montserrat" w:eastAsia="Montserrat" w:hAnsi="Montserrat"/>
          <w:sz w:val="20"/>
          <w:szCs w:val="20"/>
        </w:rPr>
      </w:pPr>
      <w:r w:rsidDel="00000000" w:rsidR="00000000" w:rsidRPr="00000000">
        <w:rPr>
          <w:rFonts w:ascii="Montserrat" w:cs="Montserrat" w:eastAsia="Montserrat" w:hAnsi="Montserrat"/>
          <w:color w:val="1d1d1b"/>
          <w:sz w:val="20"/>
          <w:szCs w:val="20"/>
          <w:rtl w:val="0"/>
        </w:rPr>
        <w:t xml:space="preserve">Questions? Contact the family genetic navigator at the IGNITE-TX Study at </w:t>
      </w:r>
      <w:hyperlink r:id="rId14">
        <w:r w:rsidDel="00000000" w:rsidR="00000000" w:rsidRPr="00000000">
          <w:rPr>
            <w:rFonts w:ascii="Montserrat" w:cs="Montserrat" w:eastAsia="Montserrat" w:hAnsi="Montserrat"/>
            <w:color w:val="1d1d1b"/>
            <w:sz w:val="20"/>
            <w:szCs w:val="20"/>
            <w:rtl w:val="0"/>
          </w:rPr>
          <w:t xml:space="preserve">ignitestudy@mdanderson.org</w:t>
        </w:r>
      </w:hyperlink>
      <w:r w:rsidDel="00000000" w:rsidR="00000000" w:rsidRPr="00000000">
        <w:rPr>
          <w:rFonts w:ascii="Montserrat" w:cs="Montserrat" w:eastAsia="Montserrat" w:hAnsi="Montserrat"/>
          <w:color w:val="1d1d1b"/>
          <w:sz w:val="20"/>
          <w:szCs w:val="20"/>
          <w:rtl w:val="0"/>
        </w:rPr>
        <w:t xml:space="preserve"> or 713-792-9155</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wp:posOffset>
                </wp:positionH>
                <wp:positionV relativeFrom="paragraph">
                  <wp:posOffset>0</wp:posOffset>
                </wp:positionV>
                <wp:extent cx="22225" cy="22225"/>
                <wp:effectExtent b="0" l="0" r="0" t="0"/>
                <wp:wrapNone/>
                <wp:docPr id="3" name=""/>
                <a:graphic>
                  <a:graphicData uri="http://schemas.microsoft.com/office/word/2010/wordprocessingShape">
                    <wps:wsp>
                      <wps:cNvCnPr/>
                      <wps:spPr>
                        <a:xfrm>
                          <a:off x="4787200" y="3780000"/>
                          <a:ext cx="1117600" cy="0"/>
                        </a:xfrm>
                        <a:prstGeom prst="straightConnector1">
                          <a:avLst/>
                        </a:prstGeom>
                        <a:solidFill>
                          <a:srgbClr val="FFFFFF"/>
                        </a:solidFill>
                        <a:ln cap="flat" cmpd="sng" w="9525">
                          <a:solidFill>
                            <a:srgbClr val="1C1C1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-114299</wp:posOffset>
                </wp:positionH>
                <wp:positionV relativeFrom="paragraph">
                  <wp:posOffset>0</wp:posOffset>
                </wp:positionV>
                <wp:extent cx="22225" cy="22225"/>
                <wp:effectExtent b="0" l="0" r="0" t="0"/>
                <wp:wrapNone/>
                <wp:docPr id="3"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22225" cy="22225"/>
                        </a:xfrm>
                        <a:prstGeom prst="rect"/>
                        <a:ln/>
                      </pic:spPr>
                    </pic:pic>
                  </a:graphicData>
                </a:graphic>
              </wp:anchor>
            </w:drawing>
          </mc:Fallback>
        </mc:AlternateContent>
      </w:r>
    </w:p>
    <w:sectPr>
      <w:pgSz w:h="15840" w:w="12240" w:orient="portrait"/>
      <w:pgMar w:bottom="0" w:top="0" w:left="360" w:right="36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0" w:line="559" w:lineRule="auto"/>
      <w:ind w:left="281"/>
    </w:pPr>
    <w:rPr>
      <w:rFonts w:ascii="Arial Black" w:cs="Arial Black" w:eastAsia="Arial Black" w:hAnsi="Arial Black"/>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0" w:line="559" w:lineRule="auto"/>
      <w:ind w:left="281"/>
    </w:pPr>
    <w:rPr>
      <w:rFonts w:ascii="Arial Black" w:cs="Arial Black" w:eastAsia="Arial Black" w:hAnsi="Arial Black"/>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dc.gov/genomics/disease/breast_ovarian_cancer/testing.htm" TargetMode="External"/><Relationship Id="rId10" Type="http://schemas.openxmlformats.org/officeDocument/2006/relationships/hyperlink" Target="http://www.cdc.gov/genomics/disease/breast_ovarian_cancer/index.htm" TargetMode="External"/><Relationship Id="rId13" Type="http://schemas.openxmlformats.org/officeDocument/2006/relationships/hyperlink" Target="http://www.cdc.gov/genomics/disease/breast_ovarian_cancer/testing.htm" TargetMode="External"/><Relationship Id="rId12" Type="http://schemas.openxmlformats.org/officeDocument/2006/relationships/hyperlink" Target="http://www.cdc.gov/genomics/disease/breast_ovarian_cancer/testing.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acingourrisk.org/" TargetMode="External"/><Relationship Id="rId15" Type="http://schemas.openxmlformats.org/officeDocument/2006/relationships/image" Target="media/image2.png"/><Relationship Id="rId14" Type="http://schemas.openxmlformats.org/officeDocument/2006/relationships/hyperlink" Target="mailto:ignitestudy@mdanderson.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findageneticcounselo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8WJAadhEjN9xuy1HX6eRZq1mLw==">AMUW2mWgRp0RKs9mLTzwQbk+lDnYmhMAy2gIpGWJGepMdRaPwSU3a2q5RmwsMXr3dBzLT/2g5MgdJzVXGfWDAKNsFtf/DLO5IiAWGGJ6fn3s+rBXV0wmYxI=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